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312"/>
        <w:gridCol w:w="2410"/>
      </w:tblGrid>
      <w:tr w:rsidR="00263600" w14:paraId="5E5FCFAA" w14:textId="77777777" w:rsidTr="0011449F">
        <w:trPr>
          <w:cantSplit/>
          <w:trHeight w:val="569"/>
        </w:trPr>
        <w:tc>
          <w:tcPr>
            <w:tcW w:w="4786" w:type="dxa"/>
            <w:tcBorders>
              <w:top w:val="single" w:sz="4" w:space="0" w:color="auto"/>
            </w:tcBorders>
            <w:shd w:val="clear" w:color="auto" w:fill="BFBFBF"/>
            <w:vAlign w:val="center"/>
          </w:tcPr>
          <w:p w14:paraId="5E5FCFA7" w14:textId="77777777" w:rsidR="0011449F" w:rsidRPr="00D4431F" w:rsidRDefault="00E056FC" w:rsidP="006149F1">
            <w:pPr>
              <w:spacing w:line="240" w:lineRule="auto"/>
              <w:jc w:val="center"/>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5E5FCFA8" w14:textId="77777777" w:rsidR="0011449F" w:rsidRPr="00D4431F" w:rsidRDefault="00E056FC" w:rsidP="006149F1">
            <w:pPr>
              <w:spacing w:line="240" w:lineRule="auto"/>
              <w:jc w:val="center"/>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14:paraId="5E5FCFA9" w14:textId="77777777" w:rsidR="0011449F" w:rsidRPr="00D4431F" w:rsidRDefault="00E056FC" w:rsidP="006149F1">
            <w:pPr>
              <w:spacing w:line="240" w:lineRule="auto"/>
              <w:jc w:val="center"/>
              <w:rPr>
                <w:rFonts w:cstheme="minorHAnsi"/>
                <w:b/>
                <w:bCs/>
              </w:rPr>
            </w:pPr>
            <w:r>
              <w:rPr>
                <w:noProof/>
              </w:rPr>
              <w:drawing>
                <wp:anchor distT="0" distB="0" distL="114300" distR="114300" simplePos="0" relativeHeight="251658240" behindDoc="1" locked="0" layoutInCell="1" allowOverlap="1" wp14:anchorId="5E5FCFF6" wp14:editId="5E5FCFF7">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25281932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263600" w14:paraId="5E5FCFAE" w14:textId="77777777" w:rsidTr="0011449F">
        <w:trPr>
          <w:cantSplit/>
          <w:trHeight w:val="654"/>
        </w:trPr>
        <w:tc>
          <w:tcPr>
            <w:tcW w:w="4786" w:type="dxa"/>
            <w:tcBorders>
              <w:bottom w:val="nil"/>
            </w:tcBorders>
            <w:vAlign w:val="center"/>
          </w:tcPr>
          <w:p w14:paraId="5E5FCFAB" w14:textId="77777777" w:rsidR="0011449F" w:rsidRPr="00D4431F" w:rsidRDefault="00E056FC"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tcBorders>
              <w:bottom w:val="nil"/>
              <w:right w:val="single" w:sz="4" w:space="0" w:color="auto"/>
            </w:tcBorders>
            <w:vAlign w:val="center"/>
          </w:tcPr>
          <w:p w14:paraId="5E5FCFAC" w14:textId="77777777" w:rsidR="0011449F" w:rsidRPr="00D4431F" w:rsidRDefault="00E056FC"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25 May 2021</w:t>
            </w:r>
            <w:r>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14:paraId="5E5FCFAD" w14:textId="77777777" w:rsidR="0011449F" w:rsidRDefault="00E056FC" w:rsidP="006149F1">
            <w:pPr>
              <w:spacing w:line="240" w:lineRule="auto"/>
              <w:jc w:val="center"/>
              <w:rPr>
                <w:rFonts w:cstheme="minorHAnsi"/>
                <w:b/>
                <w:bCs/>
              </w:rPr>
            </w:pPr>
          </w:p>
        </w:tc>
      </w:tr>
      <w:tr w:rsidR="00263600" w14:paraId="5E5FCFB1" w14:textId="77777777" w:rsidTr="0011449F">
        <w:trPr>
          <w:cantSplit/>
          <w:trHeight w:val="560"/>
        </w:trPr>
        <w:tc>
          <w:tcPr>
            <w:tcW w:w="7054" w:type="dxa"/>
            <w:gridSpan w:val="2"/>
            <w:tcBorders>
              <w:left w:val="nil"/>
              <w:right w:val="nil"/>
            </w:tcBorders>
          </w:tcPr>
          <w:p w14:paraId="5E5FCFAF" w14:textId="77777777" w:rsidR="0011449F" w:rsidRPr="00D4431F" w:rsidRDefault="00E056FC" w:rsidP="00D4431F">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14:paraId="5E5FCFB0" w14:textId="77777777" w:rsidR="0011449F" w:rsidRPr="00D4431F" w:rsidRDefault="00E056FC" w:rsidP="00D4431F">
            <w:pPr>
              <w:spacing w:line="240" w:lineRule="auto"/>
              <w:jc w:val="both"/>
              <w:rPr>
                <w:rFonts w:cstheme="minorHAnsi"/>
                <w:b/>
                <w:bCs/>
              </w:rPr>
            </w:pPr>
          </w:p>
        </w:tc>
      </w:tr>
      <w:tr w:rsidR="00263600" w14:paraId="5E5FCFB4" w14:textId="77777777" w:rsidTr="0011449F">
        <w:trPr>
          <w:cantSplit/>
        </w:trPr>
        <w:tc>
          <w:tcPr>
            <w:tcW w:w="7366" w:type="dxa"/>
            <w:gridSpan w:val="3"/>
            <w:shd w:val="clear" w:color="auto" w:fill="BFBFBF"/>
            <w:vAlign w:val="center"/>
          </w:tcPr>
          <w:p w14:paraId="5E5FCFB2" w14:textId="77777777" w:rsidR="0011449F" w:rsidRDefault="00E056FC" w:rsidP="0011449F">
            <w:pPr>
              <w:spacing w:line="240" w:lineRule="auto"/>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14:paraId="5E5FCFB3" w14:textId="77777777" w:rsidR="0011449F" w:rsidRPr="00D4431F" w:rsidRDefault="00E056FC" w:rsidP="001B5749">
            <w:pPr>
              <w:spacing w:line="240" w:lineRule="auto"/>
              <w:jc w:val="center"/>
              <w:rPr>
                <w:rFonts w:cstheme="minorHAnsi"/>
                <w:b/>
                <w:bCs/>
              </w:rPr>
            </w:pPr>
            <w:r>
              <w:rPr>
                <w:rFonts w:cstheme="minorHAnsi"/>
                <w:b/>
                <w:bCs/>
              </w:rPr>
              <w:t>Report of</w:t>
            </w:r>
          </w:p>
        </w:tc>
      </w:tr>
      <w:tr w:rsidR="00263600" w14:paraId="5E5FCFB7" w14:textId="77777777" w:rsidTr="0011449F">
        <w:trPr>
          <w:cantSplit/>
          <w:trHeight w:val="667"/>
        </w:trPr>
        <w:tc>
          <w:tcPr>
            <w:tcW w:w="7366" w:type="dxa"/>
            <w:gridSpan w:val="3"/>
            <w:vAlign w:val="center"/>
          </w:tcPr>
          <w:p w14:paraId="5E5FCFB5" w14:textId="77777777" w:rsidR="0011449F" w:rsidRPr="0011449F" w:rsidRDefault="00E056FC" w:rsidP="0011449F">
            <w:pPr>
              <w:spacing w:line="240" w:lineRule="auto"/>
              <w:rPr>
                <w:rFonts w:cstheme="minorHAnsi"/>
                <w:b/>
                <w:bCs/>
              </w:rPr>
            </w:pPr>
            <w:r w:rsidRPr="0011449F">
              <w:rPr>
                <w:rFonts w:asciiTheme="majorHAnsi" w:hAnsiTheme="majorHAnsi" w:cstheme="majorHAnsi"/>
                <w:b/>
              </w:rPr>
              <w:fldChar w:fldCharType="begin"/>
            </w:r>
            <w:r w:rsidRPr="0011449F">
              <w:rPr>
                <w:rFonts w:asciiTheme="majorHAnsi" w:hAnsiTheme="majorHAnsi" w:cstheme="majorHAnsi"/>
                <w:b/>
              </w:rPr>
              <w:instrText xml:space="preserve"> DOCPROPERTY  IssueTitle  \* MERGEFORMAT </w:instrText>
            </w:r>
            <w:r w:rsidRPr="0011449F">
              <w:rPr>
                <w:rFonts w:asciiTheme="majorHAnsi" w:hAnsiTheme="majorHAnsi" w:cstheme="majorHAnsi"/>
                <w:b/>
              </w:rPr>
              <w:fldChar w:fldCharType="separate"/>
            </w:r>
            <w:r w:rsidRPr="0011449F">
              <w:rPr>
                <w:rFonts w:asciiTheme="majorHAnsi" w:hAnsiTheme="majorHAnsi" w:cstheme="majorHAnsi"/>
                <w:b/>
              </w:rPr>
              <w:t xml:space="preserve">Review of the effectiveness of </w:t>
            </w:r>
            <w:r w:rsidRPr="0011449F">
              <w:rPr>
                <w:rFonts w:asciiTheme="majorHAnsi" w:hAnsiTheme="majorHAnsi" w:cstheme="majorHAnsi"/>
                <w:b/>
              </w:rPr>
              <w:t>Internal Audit</w:t>
            </w:r>
            <w:r w:rsidRPr="0011449F">
              <w:rPr>
                <w:rFonts w:asciiTheme="majorHAnsi" w:hAnsiTheme="majorHAnsi" w:cstheme="majorHAnsi"/>
                <w:b/>
              </w:rPr>
              <w:fldChar w:fldCharType="end"/>
            </w:r>
          </w:p>
        </w:tc>
        <w:tc>
          <w:tcPr>
            <w:tcW w:w="2410" w:type="dxa"/>
            <w:vAlign w:val="center"/>
          </w:tcPr>
          <w:p w14:paraId="5E5FCFB6" w14:textId="77777777" w:rsidR="0011449F" w:rsidRPr="00D4431F" w:rsidRDefault="00E056FC"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Governance and Monitoring Officer</w:t>
            </w:r>
            <w:r w:rsidRPr="00D4431F">
              <w:rPr>
                <w:rFonts w:cstheme="minorHAnsi"/>
                <w:b/>
                <w:bCs/>
                <w:lang w:val="en-US"/>
              </w:rPr>
              <w:fldChar w:fldCharType="end"/>
            </w:r>
          </w:p>
        </w:tc>
      </w:tr>
    </w:tbl>
    <w:p w14:paraId="5E5FCFB8" w14:textId="77777777" w:rsidR="00D4431F" w:rsidRPr="00D4431F" w:rsidRDefault="00E056FC"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63600" w14:paraId="5E5FCFBC" w14:textId="77777777" w:rsidTr="008E66FA">
        <w:tc>
          <w:tcPr>
            <w:tcW w:w="6652" w:type="dxa"/>
            <w:shd w:val="clear" w:color="auto" w:fill="auto"/>
          </w:tcPr>
          <w:p w14:paraId="5E5FCFB9" w14:textId="77777777" w:rsidR="00D4431F" w:rsidRPr="00D4431F" w:rsidRDefault="00E056FC"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5E5FCFBA" w14:textId="77777777" w:rsidR="00D4431F" w:rsidRPr="00D4431F" w:rsidRDefault="00E056FC" w:rsidP="005C459D">
            <w:pPr>
              <w:spacing w:after="0" w:line="240" w:lineRule="auto"/>
              <w:jc w:val="both"/>
              <w:rPr>
                <w:rFonts w:cstheme="minorHAnsi"/>
                <w:bCs/>
              </w:rPr>
            </w:pPr>
            <w:r w:rsidRPr="00D4431F">
              <w:rPr>
                <w:rFonts w:cstheme="minorHAnsi"/>
                <w:bCs/>
              </w:rPr>
              <w:t xml:space="preserve">No </w:t>
            </w:r>
          </w:p>
          <w:p w14:paraId="5E5FCFBB" w14:textId="77777777" w:rsidR="00D4431F" w:rsidRPr="00D4431F" w:rsidRDefault="00E056FC" w:rsidP="005C459D">
            <w:pPr>
              <w:spacing w:after="0" w:line="240" w:lineRule="auto"/>
              <w:jc w:val="both"/>
              <w:rPr>
                <w:rFonts w:cstheme="minorHAnsi"/>
                <w:bCs/>
                <w:i/>
              </w:rPr>
            </w:pPr>
          </w:p>
        </w:tc>
      </w:tr>
    </w:tbl>
    <w:p w14:paraId="5E5FCFBD" w14:textId="77777777" w:rsidR="00D4431F" w:rsidRPr="00D4431F" w:rsidRDefault="00E056FC" w:rsidP="00D4431F">
      <w:pPr>
        <w:spacing w:line="240" w:lineRule="auto"/>
        <w:jc w:val="both"/>
        <w:rPr>
          <w:rFonts w:cstheme="minorHAnsi"/>
          <w:b/>
          <w:bCs/>
        </w:rPr>
      </w:pPr>
    </w:p>
    <w:p w14:paraId="5E5FCFBE" w14:textId="77777777" w:rsidR="00D4431F" w:rsidRPr="00CA04F3" w:rsidRDefault="00E056FC"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5E5FCFBF" w14:textId="77777777" w:rsidR="006149F1" w:rsidRPr="00CA04F3" w:rsidRDefault="00E056FC" w:rsidP="006149F1">
      <w:pPr>
        <w:numPr>
          <w:ilvl w:val="0"/>
          <w:numId w:val="8"/>
        </w:numPr>
        <w:spacing w:after="0" w:line="240" w:lineRule="auto"/>
        <w:jc w:val="both"/>
        <w:rPr>
          <w:rFonts w:cstheme="minorHAnsi"/>
          <w:bCs/>
          <w:i/>
        </w:rPr>
      </w:pPr>
      <w:r w:rsidRPr="00D4431F">
        <w:rPr>
          <w:rFonts w:cstheme="minorHAnsi"/>
          <w:bCs/>
          <w:i/>
        </w:rPr>
        <w:t xml:space="preserve"> </w:t>
      </w:r>
      <w:r>
        <w:rPr>
          <w:rFonts w:cstheme="minorHAnsi"/>
          <w:bCs/>
          <w:iCs/>
        </w:rPr>
        <w:t xml:space="preserve">This report relates to the results of the </w:t>
      </w:r>
      <w:r>
        <w:rPr>
          <w:rFonts w:cstheme="minorHAnsi"/>
          <w:bCs/>
          <w:iCs/>
        </w:rPr>
        <w:t>self-assessment</w:t>
      </w:r>
      <w:r>
        <w:rPr>
          <w:rFonts w:cstheme="minorHAnsi"/>
          <w:bCs/>
          <w:iCs/>
        </w:rPr>
        <w:t xml:space="preserve"> carried out by Internal Audit against the requirement of the Public Sector Internal Audit Standards and Local Government Application Note as a means of assessing the effectiveness of Internal Audit. </w:t>
      </w:r>
    </w:p>
    <w:p w14:paraId="5E5FCFC0" w14:textId="77777777" w:rsidR="006149F1" w:rsidRPr="00CA04F3" w:rsidRDefault="00E056FC"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5E5FCFC1" w14:textId="089510F0" w:rsidR="00D4431F" w:rsidRPr="00CA04F3" w:rsidRDefault="00E056FC" w:rsidP="00CA04F3">
      <w:pPr>
        <w:numPr>
          <w:ilvl w:val="0"/>
          <w:numId w:val="8"/>
        </w:numPr>
        <w:spacing w:after="0" w:line="240" w:lineRule="auto"/>
        <w:jc w:val="both"/>
        <w:rPr>
          <w:rFonts w:cstheme="minorHAnsi"/>
          <w:bCs/>
        </w:rPr>
      </w:pPr>
      <w:r>
        <w:rPr>
          <w:rFonts w:cstheme="minorHAnsi"/>
          <w:bCs/>
          <w:iCs/>
        </w:rPr>
        <w:t>That the Committee notes the results of</w:t>
      </w:r>
      <w:r>
        <w:rPr>
          <w:rFonts w:cstheme="minorHAnsi"/>
          <w:bCs/>
          <w:iCs/>
        </w:rPr>
        <w:t xml:space="preserve"> the self -assessment as part of the Governance C</w:t>
      </w:r>
      <w:r>
        <w:rPr>
          <w:rFonts w:cstheme="minorHAnsi"/>
          <w:bCs/>
          <w:iCs/>
        </w:rPr>
        <w:t>ommittee’s</w:t>
      </w:r>
      <w:r>
        <w:rPr>
          <w:rFonts w:cstheme="minorHAnsi"/>
          <w:bCs/>
          <w:iCs/>
        </w:rPr>
        <w:t xml:space="preserve"> consideration of the system of internal control.</w:t>
      </w:r>
      <w:bookmarkStart w:id="0" w:name="_GoBack"/>
      <w:bookmarkEnd w:id="0"/>
    </w:p>
    <w:p w14:paraId="5E5FCFC2" w14:textId="77777777" w:rsidR="00D4431F" w:rsidRPr="00CA04F3" w:rsidRDefault="00E056FC" w:rsidP="00B3367B">
      <w:pPr>
        <w:spacing w:after="0" w:line="240" w:lineRule="auto"/>
        <w:ind w:left="720"/>
        <w:jc w:val="both"/>
        <w:rPr>
          <w:rFonts w:cstheme="minorHAnsi"/>
          <w:bCs/>
        </w:rPr>
      </w:pPr>
    </w:p>
    <w:p w14:paraId="5E5FCFC3" w14:textId="77777777" w:rsidR="00D4431F" w:rsidRPr="00CA04F3" w:rsidRDefault="00E056FC"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5E5FCFC4" w14:textId="77777777" w:rsidR="006149F1" w:rsidRPr="005379CC" w:rsidRDefault="00E056FC" w:rsidP="006149F1">
      <w:pPr>
        <w:numPr>
          <w:ilvl w:val="0"/>
          <w:numId w:val="8"/>
        </w:numPr>
        <w:spacing w:after="0" w:line="240" w:lineRule="auto"/>
        <w:jc w:val="both"/>
        <w:rPr>
          <w:rFonts w:cstheme="minorHAnsi"/>
          <w:bCs/>
          <w:i/>
        </w:rPr>
      </w:pPr>
      <w:r w:rsidRPr="005379CC">
        <w:rPr>
          <w:rFonts w:cstheme="minorHAnsi"/>
          <w:bCs/>
        </w:rPr>
        <w:t xml:space="preserve"> The report relates to the following corporate priorities: </w:t>
      </w:r>
    </w:p>
    <w:p w14:paraId="5E5FCFC5" w14:textId="77777777" w:rsidR="005379CC" w:rsidRPr="005379CC" w:rsidRDefault="00E056FC" w:rsidP="005379CC">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263600" w14:paraId="5E5FCFCB" w14:textId="77777777" w:rsidTr="008E66FA">
        <w:tc>
          <w:tcPr>
            <w:tcW w:w="4423" w:type="dxa"/>
            <w:shd w:val="clear" w:color="auto" w:fill="auto"/>
          </w:tcPr>
          <w:p w14:paraId="5E5FCFC6" w14:textId="77777777" w:rsidR="00D4431F" w:rsidRPr="00D4431F" w:rsidRDefault="00E056FC" w:rsidP="006149F1">
            <w:pPr>
              <w:spacing w:after="0" w:line="240" w:lineRule="auto"/>
              <w:jc w:val="both"/>
              <w:rPr>
                <w:rFonts w:cstheme="minorHAnsi"/>
                <w:bCs/>
              </w:rPr>
            </w:pPr>
            <w:r w:rsidRPr="00D4431F">
              <w:rPr>
                <w:rFonts w:cstheme="minorHAnsi"/>
                <w:bCs/>
              </w:rPr>
              <w:t>An exemplary council</w:t>
            </w:r>
          </w:p>
          <w:p w14:paraId="5E5FCFC7" w14:textId="77777777" w:rsidR="00D4431F" w:rsidRPr="00D4431F" w:rsidRDefault="00E056FC" w:rsidP="006149F1">
            <w:pPr>
              <w:spacing w:after="0" w:line="240" w:lineRule="auto"/>
              <w:jc w:val="both"/>
              <w:rPr>
                <w:rFonts w:cstheme="minorHAnsi"/>
                <w:bCs/>
              </w:rPr>
            </w:pPr>
          </w:p>
        </w:tc>
        <w:tc>
          <w:tcPr>
            <w:tcW w:w="850" w:type="dxa"/>
            <w:shd w:val="clear" w:color="auto" w:fill="auto"/>
          </w:tcPr>
          <w:p w14:paraId="5E5FCFC8" w14:textId="77777777" w:rsidR="00D4431F" w:rsidRPr="00D4431F" w:rsidRDefault="00E056FC" w:rsidP="006149F1">
            <w:pPr>
              <w:spacing w:after="0" w:line="240" w:lineRule="auto"/>
              <w:jc w:val="both"/>
              <w:rPr>
                <w:rFonts w:cstheme="minorHAnsi"/>
                <w:bCs/>
              </w:rPr>
            </w:pPr>
            <w:r>
              <w:rPr>
                <w:rFonts w:cstheme="minorHAnsi"/>
                <w:bCs/>
              </w:rPr>
              <w:t>X</w:t>
            </w:r>
          </w:p>
        </w:tc>
        <w:tc>
          <w:tcPr>
            <w:tcW w:w="3402" w:type="dxa"/>
          </w:tcPr>
          <w:p w14:paraId="5E5FCFC9" w14:textId="77777777" w:rsidR="00D4431F" w:rsidRPr="00D4431F" w:rsidRDefault="00E056FC" w:rsidP="006149F1">
            <w:pPr>
              <w:spacing w:after="0" w:line="240" w:lineRule="auto"/>
              <w:jc w:val="both"/>
              <w:rPr>
                <w:rFonts w:cstheme="minorHAnsi"/>
                <w:bCs/>
              </w:rPr>
            </w:pPr>
            <w:r w:rsidRPr="00D4431F">
              <w:rPr>
                <w:rFonts w:cstheme="minorHAnsi"/>
                <w:bCs/>
              </w:rPr>
              <w:t>Thriving communities</w:t>
            </w:r>
          </w:p>
        </w:tc>
        <w:tc>
          <w:tcPr>
            <w:tcW w:w="851" w:type="dxa"/>
          </w:tcPr>
          <w:p w14:paraId="5E5FCFCA" w14:textId="77777777" w:rsidR="00D4431F" w:rsidRPr="00D4431F" w:rsidRDefault="00E056FC" w:rsidP="006149F1">
            <w:pPr>
              <w:spacing w:after="0" w:line="240" w:lineRule="auto"/>
              <w:jc w:val="both"/>
              <w:rPr>
                <w:rFonts w:cstheme="minorHAnsi"/>
                <w:bCs/>
              </w:rPr>
            </w:pPr>
          </w:p>
        </w:tc>
      </w:tr>
      <w:tr w:rsidR="00263600" w14:paraId="5E5FCFD0" w14:textId="77777777" w:rsidTr="008E66FA">
        <w:tc>
          <w:tcPr>
            <w:tcW w:w="4423" w:type="dxa"/>
            <w:shd w:val="clear" w:color="auto" w:fill="auto"/>
          </w:tcPr>
          <w:p w14:paraId="5E5FCFCC" w14:textId="77777777" w:rsidR="00D4431F" w:rsidRPr="00D4431F" w:rsidRDefault="00E056FC" w:rsidP="006149F1">
            <w:pPr>
              <w:spacing w:after="0" w:line="240" w:lineRule="auto"/>
              <w:jc w:val="both"/>
              <w:rPr>
                <w:rFonts w:cstheme="minorHAnsi"/>
                <w:bCs/>
              </w:rPr>
            </w:pPr>
            <w:r w:rsidRPr="00D4431F">
              <w:rPr>
                <w:rFonts w:cstheme="minorHAnsi"/>
                <w:bCs/>
              </w:rPr>
              <w:t xml:space="preserve">A fair local </w:t>
            </w:r>
            <w:r w:rsidRPr="00D4431F">
              <w:rPr>
                <w:rFonts w:cstheme="minorHAnsi"/>
                <w:bCs/>
              </w:rPr>
              <w:t>economy that works for everyone</w:t>
            </w:r>
          </w:p>
        </w:tc>
        <w:tc>
          <w:tcPr>
            <w:tcW w:w="850" w:type="dxa"/>
            <w:shd w:val="clear" w:color="auto" w:fill="auto"/>
          </w:tcPr>
          <w:p w14:paraId="5E5FCFCD" w14:textId="77777777" w:rsidR="00D4431F" w:rsidRPr="00D4431F" w:rsidRDefault="00E056FC" w:rsidP="006149F1">
            <w:pPr>
              <w:spacing w:after="0" w:line="240" w:lineRule="auto"/>
              <w:jc w:val="both"/>
              <w:rPr>
                <w:rFonts w:cstheme="minorHAnsi"/>
                <w:bCs/>
              </w:rPr>
            </w:pPr>
          </w:p>
        </w:tc>
        <w:tc>
          <w:tcPr>
            <w:tcW w:w="3402" w:type="dxa"/>
          </w:tcPr>
          <w:p w14:paraId="5E5FCFCE" w14:textId="77777777" w:rsidR="00D4431F" w:rsidRPr="00D4431F" w:rsidRDefault="00E056FC"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5E5FCFCF" w14:textId="77777777" w:rsidR="00D4431F" w:rsidRPr="00D4431F" w:rsidRDefault="00E056FC" w:rsidP="006149F1">
            <w:pPr>
              <w:spacing w:after="0" w:line="240" w:lineRule="auto"/>
              <w:jc w:val="both"/>
              <w:rPr>
                <w:rFonts w:cstheme="minorHAnsi"/>
                <w:bCs/>
              </w:rPr>
            </w:pPr>
          </w:p>
        </w:tc>
      </w:tr>
    </w:tbl>
    <w:p w14:paraId="5E5FCFD1" w14:textId="77777777" w:rsidR="00D4431F" w:rsidRPr="00D4431F" w:rsidRDefault="00E056FC" w:rsidP="00D4431F">
      <w:pPr>
        <w:spacing w:line="240" w:lineRule="auto"/>
        <w:jc w:val="both"/>
        <w:rPr>
          <w:rFonts w:cstheme="minorHAnsi"/>
          <w:bCs/>
        </w:rPr>
      </w:pPr>
    </w:p>
    <w:p w14:paraId="5E5FCFD2" w14:textId="77777777" w:rsidR="00D4431F" w:rsidRPr="00CA04F3" w:rsidRDefault="00E056FC"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5E5FCFD3" w14:textId="6ED29E76" w:rsidR="006149F1" w:rsidRPr="00B3367B" w:rsidRDefault="00E056FC" w:rsidP="00CA04F3">
      <w:pPr>
        <w:numPr>
          <w:ilvl w:val="0"/>
          <w:numId w:val="8"/>
        </w:numPr>
        <w:spacing w:after="0" w:line="240" w:lineRule="auto"/>
        <w:jc w:val="both"/>
        <w:rPr>
          <w:rFonts w:cstheme="minorHAnsi"/>
          <w:bCs/>
          <w:i/>
        </w:rPr>
      </w:pPr>
      <w:r w:rsidRPr="00D4431F">
        <w:rPr>
          <w:rFonts w:cstheme="minorHAnsi"/>
          <w:bCs/>
          <w:i/>
        </w:rPr>
        <w:t xml:space="preserve"> </w:t>
      </w:r>
      <w:r>
        <w:rPr>
          <w:rFonts w:cstheme="minorHAnsi"/>
          <w:bCs/>
          <w:iCs/>
        </w:rPr>
        <w:t>The Accounts and Audit (England) Regulations 2015 requires that the relevant body,</w:t>
      </w:r>
      <w:r>
        <w:rPr>
          <w:rFonts w:cstheme="minorHAnsi"/>
          <w:bCs/>
          <w:iCs/>
        </w:rPr>
        <w:t xml:space="preserve"> at least once in a year, to conduct a review of the effectiveness of </w:t>
      </w:r>
      <w:r>
        <w:rPr>
          <w:rFonts w:cstheme="minorHAnsi"/>
          <w:bCs/>
          <w:iCs/>
        </w:rPr>
        <w:t xml:space="preserve">its system of internal audit.  The purpose behind the review is to ensure that the opinion in the annual report by the Head of Audit can be relied upon as a key source of evidence in the Annual Governance Statement. </w:t>
      </w:r>
    </w:p>
    <w:p w14:paraId="5E5FCFD4" w14:textId="77777777" w:rsidR="00B3367B" w:rsidRPr="00B3367B" w:rsidRDefault="00E056FC" w:rsidP="00B3367B">
      <w:pPr>
        <w:spacing w:after="0" w:line="240" w:lineRule="auto"/>
        <w:ind w:left="720"/>
        <w:jc w:val="both"/>
        <w:rPr>
          <w:rFonts w:cstheme="minorHAnsi"/>
          <w:bCs/>
          <w:i/>
        </w:rPr>
      </w:pPr>
    </w:p>
    <w:p w14:paraId="5E5FCFD5" w14:textId="77777777" w:rsidR="00B3367B" w:rsidRPr="00CA04F3" w:rsidRDefault="00E056FC" w:rsidP="00CA04F3">
      <w:pPr>
        <w:numPr>
          <w:ilvl w:val="0"/>
          <w:numId w:val="8"/>
        </w:numPr>
        <w:spacing w:after="0" w:line="240" w:lineRule="auto"/>
        <w:jc w:val="both"/>
        <w:rPr>
          <w:rFonts w:cstheme="minorHAnsi"/>
          <w:bCs/>
          <w:i/>
        </w:rPr>
      </w:pPr>
      <w:r>
        <w:rPr>
          <w:rFonts w:cstheme="minorHAnsi"/>
          <w:bCs/>
          <w:iCs/>
        </w:rPr>
        <w:t xml:space="preserve">The Public Sector Internal Audit </w:t>
      </w:r>
      <w:r>
        <w:rPr>
          <w:rFonts w:cstheme="minorHAnsi"/>
          <w:bCs/>
          <w:iCs/>
        </w:rPr>
        <w:t>Standards came into effect on the 1</w:t>
      </w:r>
      <w:r w:rsidRPr="00B3367B">
        <w:rPr>
          <w:rFonts w:cstheme="minorHAnsi"/>
          <w:bCs/>
          <w:iCs/>
          <w:vertAlign w:val="superscript"/>
        </w:rPr>
        <w:t>st</w:t>
      </w:r>
      <w:r>
        <w:rPr>
          <w:rFonts w:cstheme="minorHAnsi"/>
          <w:bCs/>
          <w:iCs/>
        </w:rPr>
        <w:t xml:space="preserve"> April 2013 and are applicable to the whole of the public sector.  A Local Government Application Note (LGAN) was produced by CIPFA in collaboration with the Chartered Institute of Internal </w:t>
      </w:r>
      <w:r>
        <w:rPr>
          <w:rFonts w:cstheme="minorHAnsi"/>
          <w:bCs/>
          <w:iCs/>
        </w:rPr>
        <w:lastRenderedPageBreak/>
        <w:t>Auditors as a sector specific</w:t>
      </w:r>
      <w:r>
        <w:rPr>
          <w:rFonts w:cstheme="minorHAnsi"/>
          <w:bCs/>
          <w:iCs/>
        </w:rPr>
        <w:t xml:space="preserve"> requirement within the PSIAS framework.  The LGAN was re-issued in 2019.</w:t>
      </w:r>
    </w:p>
    <w:p w14:paraId="5E5FCFD6" w14:textId="77777777" w:rsidR="00B3367B" w:rsidRPr="00B3367B" w:rsidRDefault="00E056FC" w:rsidP="00B3367B">
      <w:pPr>
        <w:spacing w:after="0" w:line="240" w:lineRule="auto"/>
        <w:jc w:val="both"/>
        <w:rPr>
          <w:rFonts w:cstheme="minorHAnsi"/>
          <w:bCs/>
        </w:rPr>
      </w:pPr>
    </w:p>
    <w:p w14:paraId="5E5FCFD7" w14:textId="77777777" w:rsidR="006149F1" w:rsidRPr="002F17A7" w:rsidRDefault="00E056FC" w:rsidP="00CA04F3">
      <w:pPr>
        <w:numPr>
          <w:ilvl w:val="0"/>
          <w:numId w:val="8"/>
        </w:numPr>
        <w:spacing w:after="0" w:line="240" w:lineRule="auto"/>
        <w:jc w:val="both"/>
        <w:rPr>
          <w:rFonts w:cstheme="minorHAnsi"/>
          <w:bCs/>
        </w:rPr>
      </w:pPr>
      <w:r>
        <w:rPr>
          <w:rFonts w:cstheme="minorHAnsi"/>
          <w:bCs/>
          <w:iCs/>
        </w:rPr>
        <w:t xml:space="preserve">One of the Attribute Standards within the PSIAS refers to a Quality Assurance and </w:t>
      </w:r>
      <w:r>
        <w:rPr>
          <w:rFonts w:cstheme="minorHAnsi"/>
          <w:bCs/>
          <w:iCs/>
        </w:rPr>
        <w:t>Improvement</w:t>
      </w:r>
      <w:r>
        <w:rPr>
          <w:rFonts w:cstheme="minorHAnsi"/>
          <w:bCs/>
          <w:iCs/>
        </w:rPr>
        <w:t xml:space="preserve"> Programme (</w:t>
      </w:r>
      <w:r>
        <w:rPr>
          <w:rFonts w:cstheme="minorHAnsi"/>
          <w:bCs/>
          <w:iCs/>
        </w:rPr>
        <w:t xml:space="preserve">QAIP) which must comprise both internal and external assessments.  Internal </w:t>
      </w:r>
      <w:r>
        <w:rPr>
          <w:rFonts w:cstheme="minorHAnsi"/>
          <w:bCs/>
          <w:iCs/>
        </w:rPr>
        <w:t>assessments are both on-going and periodic, whilst an external assessment must be undertaken at least once every five years. The last external assessment was conducted in April 2018 and reported to the Governance Committee</w:t>
      </w:r>
      <w:r w:rsidRPr="00D4431F">
        <w:rPr>
          <w:rFonts w:cstheme="minorHAnsi"/>
          <w:bCs/>
          <w:i/>
        </w:rPr>
        <w:t xml:space="preserve">. </w:t>
      </w:r>
    </w:p>
    <w:p w14:paraId="5E5FCFD8" w14:textId="77777777" w:rsidR="002F17A7" w:rsidRDefault="00E056FC" w:rsidP="002F17A7">
      <w:pPr>
        <w:pStyle w:val="ListParagraph"/>
        <w:rPr>
          <w:rFonts w:cstheme="minorHAnsi"/>
          <w:bCs/>
        </w:rPr>
      </w:pPr>
    </w:p>
    <w:p w14:paraId="5E5FCFD9" w14:textId="77777777" w:rsidR="002F17A7" w:rsidRDefault="00E056FC" w:rsidP="00CA04F3">
      <w:pPr>
        <w:numPr>
          <w:ilvl w:val="0"/>
          <w:numId w:val="8"/>
        </w:numPr>
        <w:spacing w:after="0" w:line="240" w:lineRule="auto"/>
        <w:jc w:val="both"/>
        <w:rPr>
          <w:rFonts w:cstheme="minorHAnsi"/>
          <w:bCs/>
        </w:rPr>
      </w:pPr>
      <w:r>
        <w:rPr>
          <w:rFonts w:cstheme="minorHAnsi"/>
          <w:bCs/>
        </w:rPr>
        <w:t>The LGAN states that if the pe</w:t>
      </w:r>
      <w:r>
        <w:rPr>
          <w:rFonts w:cstheme="minorHAnsi"/>
          <w:bCs/>
        </w:rPr>
        <w:t>riodic assessment is in the form of a self-assessment, the checklist contained within the guidance should be used for assessing conformance as it covers both the PSIAS and the LGAN.</w:t>
      </w:r>
    </w:p>
    <w:p w14:paraId="5E5FCFDA" w14:textId="77777777" w:rsidR="002F17A7" w:rsidRDefault="00E056FC" w:rsidP="002F17A7">
      <w:pPr>
        <w:pStyle w:val="ListParagraph"/>
        <w:rPr>
          <w:rFonts w:cstheme="minorHAnsi"/>
          <w:bCs/>
        </w:rPr>
      </w:pPr>
    </w:p>
    <w:p w14:paraId="5E5FCFDB" w14:textId="77777777" w:rsidR="002F17A7" w:rsidRPr="002F17A7" w:rsidRDefault="00E056FC" w:rsidP="002F17A7">
      <w:pPr>
        <w:spacing w:after="0" w:line="240" w:lineRule="auto"/>
        <w:ind w:left="360"/>
        <w:jc w:val="both"/>
        <w:rPr>
          <w:rFonts w:cstheme="minorHAnsi"/>
          <w:b/>
        </w:rPr>
      </w:pPr>
      <w:r w:rsidRPr="002F17A7">
        <w:rPr>
          <w:rFonts w:cstheme="minorHAnsi"/>
          <w:b/>
        </w:rPr>
        <w:t>Assessment</w:t>
      </w:r>
    </w:p>
    <w:p w14:paraId="5E5FCFDC" w14:textId="77777777" w:rsidR="002F17A7" w:rsidRDefault="00E056FC" w:rsidP="002F17A7">
      <w:pPr>
        <w:pStyle w:val="ListParagraph"/>
        <w:rPr>
          <w:rFonts w:cstheme="minorHAnsi"/>
          <w:bCs/>
        </w:rPr>
      </w:pPr>
    </w:p>
    <w:p w14:paraId="5E5FCFDD" w14:textId="77777777" w:rsidR="005379CC" w:rsidRDefault="00E056FC" w:rsidP="005379CC">
      <w:pPr>
        <w:numPr>
          <w:ilvl w:val="0"/>
          <w:numId w:val="8"/>
        </w:numPr>
        <w:spacing w:after="0" w:line="240" w:lineRule="auto"/>
        <w:jc w:val="both"/>
        <w:rPr>
          <w:rFonts w:cstheme="minorHAnsi"/>
          <w:bCs/>
        </w:rPr>
      </w:pPr>
      <w:r w:rsidRPr="005379CC">
        <w:rPr>
          <w:rFonts w:cstheme="minorHAnsi"/>
          <w:bCs/>
        </w:rPr>
        <w:t xml:space="preserve">In order to meet the requirements of the Accounts and Audit </w:t>
      </w:r>
      <w:r w:rsidRPr="005379CC">
        <w:rPr>
          <w:rFonts w:cstheme="minorHAnsi"/>
          <w:bCs/>
        </w:rPr>
        <w:t>Regulations</w:t>
      </w:r>
      <w:r w:rsidRPr="005379CC">
        <w:rPr>
          <w:rFonts w:cstheme="minorHAnsi"/>
          <w:bCs/>
        </w:rPr>
        <w:t xml:space="preserve">, a </w:t>
      </w:r>
      <w:r w:rsidRPr="005379CC">
        <w:rPr>
          <w:rFonts w:cstheme="minorHAnsi"/>
          <w:bCs/>
        </w:rPr>
        <w:t>self-assessment</w:t>
      </w:r>
      <w:r w:rsidRPr="005379CC">
        <w:rPr>
          <w:rFonts w:cstheme="minorHAnsi"/>
          <w:bCs/>
        </w:rPr>
        <w:t xml:space="preserve"> has been carried out by the Service Lead Audit and Risk using the checklist </w:t>
      </w:r>
      <w:r w:rsidRPr="005379CC">
        <w:rPr>
          <w:rFonts w:cstheme="minorHAnsi"/>
          <w:bCs/>
        </w:rPr>
        <w:t>contained</w:t>
      </w:r>
      <w:r w:rsidRPr="005379CC">
        <w:rPr>
          <w:rFonts w:cstheme="minorHAnsi"/>
          <w:bCs/>
        </w:rPr>
        <w:t xml:space="preserve"> within the revised LGAN.  This is attached at </w:t>
      </w:r>
      <w:r w:rsidRPr="005379CC">
        <w:rPr>
          <w:rFonts w:cstheme="minorHAnsi"/>
          <w:b/>
        </w:rPr>
        <w:t>Appendix A</w:t>
      </w:r>
      <w:r w:rsidRPr="005379CC">
        <w:rPr>
          <w:rFonts w:cstheme="minorHAnsi"/>
          <w:bCs/>
        </w:rPr>
        <w:t xml:space="preserve"> to this report.  </w:t>
      </w:r>
      <w:r>
        <w:rPr>
          <w:rFonts w:cstheme="minorHAnsi"/>
          <w:bCs/>
        </w:rPr>
        <w:t>The s</w:t>
      </w:r>
      <w:r>
        <w:rPr>
          <w:rFonts w:cstheme="minorHAnsi"/>
          <w:bCs/>
        </w:rPr>
        <w:t>elf-assessment demonstrates that the Service conforms with the standards with the exception of 2 areas of non-conformance and 3 of partial compliance.</w:t>
      </w:r>
    </w:p>
    <w:p w14:paraId="5E5FCFDE" w14:textId="77777777" w:rsidR="005379CC" w:rsidRPr="005379CC" w:rsidRDefault="00E056FC" w:rsidP="005379CC">
      <w:pPr>
        <w:spacing w:after="0" w:line="240" w:lineRule="auto"/>
        <w:ind w:left="720"/>
        <w:jc w:val="both"/>
        <w:rPr>
          <w:rFonts w:cstheme="minorHAnsi"/>
          <w:bCs/>
        </w:rPr>
      </w:pPr>
    </w:p>
    <w:p w14:paraId="5E5FCFDF" w14:textId="77777777" w:rsidR="002F17A7" w:rsidRDefault="00E056FC" w:rsidP="00CA04F3">
      <w:pPr>
        <w:numPr>
          <w:ilvl w:val="0"/>
          <w:numId w:val="8"/>
        </w:numPr>
        <w:spacing w:after="0" w:line="240" w:lineRule="auto"/>
        <w:jc w:val="both"/>
        <w:rPr>
          <w:rFonts w:cstheme="minorHAnsi"/>
          <w:bCs/>
        </w:rPr>
      </w:pPr>
      <w:r>
        <w:rPr>
          <w:rFonts w:cstheme="minorHAnsi"/>
          <w:bCs/>
        </w:rPr>
        <w:t>The Action plan to address the identified areas is included within the Internal Audit Annual Report.</w:t>
      </w:r>
    </w:p>
    <w:p w14:paraId="5E5FCFE0" w14:textId="77777777" w:rsidR="002F17A7" w:rsidRPr="00CA04F3" w:rsidRDefault="00E056FC" w:rsidP="002F17A7">
      <w:pPr>
        <w:spacing w:after="0" w:line="240" w:lineRule="auto"/>
        <w:ind w:left="720"/>
        <w:jc w:val="both"/>
        <w:rPr>
          <w:rFonts w:cstheme="minorHAnsi"/>
          <w:bCs/>
        </w:rPr>
      </w:pPr>
    </w:p>
    <w:p w14:paraId="5E5FCFE1" w14:textId="77777777" w:rsidR="006149F1" w:rsidRPr="00D4431F" w:rsidRDefault="00E056FC" w:rsidP="006149F1">
      <w:pPr>
        <w:spacing w:after="0" w:line="240" w:lineRule="auto"/>
        <w:ind w:left="720"/>
        <w:jc w:val="both"/>
        <w:rPr>
          <w:rFonts w:cstheme="minorHAnsi"/>
          <w:bCs/>
        </w:rPr>
      </w:pPr>
    </w:p>
    <w:p w14:paraId="5E5FCFE2" w14:textId="11FF13EF" w:rsidR="00D4431F" w:rsidRPr="00D4431F" w:rsidRDefault="00E056FC" w:rsidP="00D4431F">
      <w:pPr>
        <w:spacing w:line="240" w:lineRule="auto"/>
        <w:jc w:val="both"/>
        <w:rPr>
          <w:rFonts w:asciiTheme="majorHAnsi" w:hAnsiTheme="majorHAnsi" w:cstheme="majorHAnsi"/>
          <w:bCs/>
        </w:rPr>
      </w:pPr>
      <w:r w:rsidRPr="00D4431F">
        <w:rPr>
          <w:rFonts w:asciiTheme="majorHAnsi" w:hAnsiTheme="majorHAnsi" w:cstheme="majorHAnsi"/>
          <w:bCs/>
        </w:rPr>
        <w:t>There are no background papers to this report</w:t>
      </w:r>
    </w:p>
    <w:p w14:paraId="5E5FCFE3" w14:textId="77777777" w:rsidR="00D4431F" w:rsidRPr="00CA04F3" w:rsidRDefault="00E056FC"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5E5FCFE4" w14:textId="77777777" w:rsidR="006149F1" w:rsidRPr="00D4431F" w:rsidRDefault="00E056FC" w:rsidP="006149F1">
      <w:pPr>
        <w:spacing w:after="0" w:line="240" w:lineRule="auto"/>
        <w:jc w:val="both"/>
        <w:rPr>
          <w:rFonts w:cstheme="minorHAnsi"/>
          <w:bCs/>
          <w:i/>
        </w:rPr>
      </w:pPr>
    </w:p>
    <w:p w14:paraId="5E5FCFE5" w14:textId="77777777" w:rsidR="00D4431F" w:rsidRPr="00E056FC" w:rsidRDefault="00E056FC" w:rsidP="006149F1">
      <w:pPr>
        <w:spacing w:after="0" w:line="240" w:lineRule="auto"/>
        <w:jc w:val="both"/>
        <w:rPr>
          <w:rFonts w:cstheme="minorHAnsi"/>
          <w:bCs/>
          <w:iCs/>
        </w:rPr>
      </w:pPr>
      <w:r w:rsidRPr="00E056FC">
        <w:rPr>
          <w:rFonts w:cstheme="minorHAnsi"/>
          <w:bCs/>
          <w:iCs/>
        </w:rPr>
        <w:t>Appendix A</w:t>
      </w:r>
      <w:r w:rsidRPr="00E056FC">
        <w:rPr>
          <w:rFonts w:cstheme="minorHAnsi"/>
          <w:bCs/>
          <w:iCs/>
        </w:rPr>
        <w:t xml:space="preserve"> – Public Sector Internal Audit Standards Self Assessment</w:t>
      </w:r>
    </w:p>
    <w:p w14:paraId="5E5FCFE6" w14:textId="77777777" w:rsidR="00D4431F" w:rsidRPr="00D4431F" w:rsidRDefault="00E056FC" w:rsidP="00D4431F">
      <w:pPr>
        <w:spacing w:line="240" w:lineRule="auto"/>
        <w:jc w:val="both"/>
        <w:rPr>
          <w:rFonts w:cstheme="minorHAnsi"/>
          <w:bCs/>
        </w:rPr>
      </w:pPr>
    </w:p>
    <w:p w14:paraId="5E5FCFE7" w14:textId="77777777" w:rsidR="00D4431F" w:rsidRDefault="00E056FC" w:rsidP="006149F1">
      <w:pPr>
        <w:spacing w:after="0" w:line="240" w:lineRule="auto"/>
        <w:jc w:val="both"/>
        <w:rPr>
          <w:rFonts w:cstheme="minorHAnsi"/>
          <w:bCs/>
        </w:rPr>
      </w:pPr>
      <w:r>
        <w:rPr>
          <w:rFonts w:cstheme="minorHAnsi"/>
          <w:bCs/>
        </w:rPr>
        <w:t>Dawn Highton</w:t>
      </w:r>
    </w:p>
    <w:p w14:paraId="5E5FCFE8" w14:textId="77777777" w:rsidR="005379CC" w:rsidRPr="00D4431F" w:rsidRDefault="00E056FC" w:rsidP="006149F1">
      <w:pPr>
        <w:spacing w:after="0" w:line="240" w:lineRule="auto"/>
        <w:jc w:val="both"/>
        <w:rPr>
          <w:rFonts w:cstheme="minorHAnsi"/>
          <w:bCs/>
        </w:rPr>
      </w:pPr>
      <w:r>
        <w:rPr>
          <w:rFonts w:cstheme="minorHAnsi"/>
          <w:bCs/>
        </w:rPr>
        <w:t>Service Lead Audit and Risk</w:t>
      </w:r>
    </w:p>
    <w:p w14:paraId="5E5FCFE9" w14:textId="77777777" w:rsidR="00D4431F" w:rsidRPr="00D4431F" w:rsidRDefault="00E056FC" w:rsidP="006149F1">
      <w:pPr>
        <w:spacing w:after="0" w:line="240" w:lineRule="auto"/>
        <w:jc w:val="both"/>
        <w:rPr>
          <w:rFonts w:cstheme="minorHAnsi"/>
          <w:bCs/>
        </w:rPr>
      </w:pPr>
    </w:p>
    <w:p w14:paraId="5E5FCFEA" w14:textId="77777777" w:rsidR="00D4431F" w:rsidRPr="00D4431F" w:rsidRDefault="00E056FC"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534"/>
        <w:gridCol w:w="1467"/>
        <w:gridCol w:w="1147"/>
      </w:tblGrid>
      <w:tr w:rsidR="00263600" w14:paraId="5E5FCFEF" w14:textId="77777777" w:rsidTr="008E66FA">
        <w:tc>
          <w:tcPr>
            <w:tcW w:w="3856" w:type="dxa"/>
            <w:shd w:val="clear" w:color="auto" w:fill="auto"/>
          </w:tcPr>
          <w:p w14:paraId="5E5FCFEB" w14:textId="77777777" w:rsidR="00D4431F" w:rsidRPr="00D4431F" w:rsidRDefault="00E056FC" w:rsidP="00D4431F">
            <w:pPr>
              <w:spacing w:line="240" w:lineRule="auto"/>
              <w:jc w:val="both"/>
              <w:rPr>
                <w:rFonts w:cstheme="minorHAnsi"/>
                <w:bCs/>
              </w:rPr>
            </w:pPr>
            <w:r w:rsidRPr="00D4431F">
              <w:rPr>
                <w:rFonts w:cstheme="minorHAnsi"/>
                <w:bCs/>
              </w:rPr>
              <w:t>Report Author:</w:t>
            </w:r>
          </w:p>
        </w:tc>
        <w:tc>
          <w:tcPr>
            <w:tcW w:w="2835" w:type="dxa"/>
          </w:tcPr>
          <w:p w14:paraId="5E5FCFEC" w14:textId="77777777" w:rsidR="00D4431F" w:rsidRPr="00D4431F" w:rsidRDefault="00E056FC"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5E5FCFED" w14:textId="77777777" w:rsidR="00D4431F" w:rsidRPr="00D4431F" w:rsidRDefault="00E056FC"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5E5FCFEE" w14:textId="77777777" w:rsidR="00D4431F" w:rsidRPr="00D4431F" w:rsidRDefault="00E056FC" w:rsidP="00D4431F">
            <w:pPr>
              <w:spacing w:line="240" w:lineRule="auto"/>
              <w:jc w:val="both"/>
              <w:rPr>
                <w:rFonts w:cstheme="minorHAnsi"/>
                <w:bCs/>
              </w:rPr>
            </w:pPr>
            <w:r w:rsidRPr="00D4431F">
              <w:rPr>
                <w:rFonts w:cstheme="minorHAnsi"/>
                <w:bCs/>
              </w:rPr>
              <w:t>Date:</w:t>
            </w:r>
          </w:p>
        </w:tc>
      </w:tr>
      <w:tr w:rsidR="00263600" w14:paraId="5E5FCFF4" w14:textId="77777777" w:rsidTr="008E66FA">
        <w:tc>
          <w:tcPr>
            <w:tcW w:w="3856" w:type="dxa"/>
            <w:shd w:val="clear" w:color="auto" w:fill="auto"/>
          </w:tcPr>
          <w:p w14:paraId="5E5FCFF0" w14:textId="77777777" w:rsidR="00D4431F" w:rsidRPr="00D4431F" w:rsidRDefault="00E056FC"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Dawn Highton</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 Lead- Audit &amp; Risk</w:t>
            </w:r>
            <w:r>
              <w:rPr>
                <w:rFonts w:cstheme="minorHAnsi"/>
                <w:bCs/>
              </w:rPr>
              <w:fldChar w:fldCharType="end"/>
            </w:r>
            <w:r w:rsidRPr="00D4431F">
              <w:rPr>
                <w:rFonts w:cstheme="minorHAnsi"/>
                <w:bCs/>
              </w:rPr>
              <w:t>)</w:t>
            </w:r>
          </w:p>
        </w:tc>
        <w:tc>
          <w:tcPr>
            <w:tcW w:w="2835" w:type="dxa"/>
          </w:tcPr>
          <w:p w14:paraId="5E5FCFF1" w14:textId="77777777" w:rsidR="00D4431F" w:rsidRPr="00D4431F" w:rsidRDefault="00E056FC"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14:paraId="5E5FCFF2" w14:textId="77777777" w:rsidR="00D4431F" w:rsidRPr="00D4431F" w:rsidRDefault="00E056FC" w:rsidP="00D4431F">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14:paraId="5E5FCFF3" w14:textId="77777777" w:rsidR="00D4431F" w:rsidRPr="00D4431F" w:rsidRDefault="00E056FC" w:rsidP="00D4431F">
            <w:pPr>
              <w:spacing w:line="240" w:lineRule="auto"/>
              <w:jc w:val="both"/>
              <w:rPr>
                <w:rFonts w:cstheme="minorHAnsi"/>
                <w:bCs/>
              </w:rPr>
            </w:pPr>
            <w:r>
              <w:rPr>
                <w:rFonts w:cstheme="minorHAnsi"/>
                <w:bCs/>
              </w:rPr>
              <w:t>10/5/21</w:t>
            </w:r>
          </w:p>
        </w:tc>
      </w:tr>
    </w:tbl>
    <w:p w14:paraId="5E5FCFF5" w14:textId="77777777" w:rsidR="0025620C" w:rsidRPr="005C459D" w:rsidRDefault="00E056FC">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C27EFA58">
      <w:start w:val="1"/>
      <w:numFmt w:val="bullet"/>
      <w:lvlText w:val=""/>
      <w:lvlJc w:val="left"/>
      <w:pPr>
        <w:ind w:left="990" w:hanging="360"/>
      </w:pPr>
      <w:rPr>
        <w:rFonts w:ascii="Symbol" w:hAnsi="Symbol" w:hint="default"/>
      </w:rPr>
    </w:lvl>
    <w:lvl w:ilvl="1" w:tplc="9B8AA59A" w:tentative="1">
      <w:start w:val="1"/>
      <w:numFmt w:val="bullet"/>
      <w:lvlText w:val="o"/>
      <w:lvlJc w:val="left"/>
      <w:pPr>
        <w:ind w:left="1710" w:hanging="360"/>
      </w:pPr>
      <w:rPr>
        <w:rFonts w:ascii="Courier New" w:hAnsi="Courier New" w:cs="Courier New" w:hint="default"/>
      </w:rPr>
    </w:lvl>
    <w:lvl w:ilvl="2" w:tplc="81785648" w:tentative="1">
      <w:start w:val="1"/>
      <w:numFmt w:val="bullet"/>
      <w:lvlText w:val=""/>
      <w:lvlJc w:val="left"/>
      <w:pPr>
        <w:ind w:left="2430" w:hanging="360"/>
      </w:pPr>
      <w:rPr>
        <w:rFonts w:ascii="Wingdings" w:hAnsi="Wingdings" w:hint="default"/>
      </w:rPr>
    </w:lvl>
    <w:lvl w:ilvl="3" w:tplc="9E964884" w:tentative="1">
      <w:start w:val="1"/>
      <w:numFmt w:val="bullet"/>
      <w:lvlText w:val=""/>
      <w:lvlJc w:val="left"/>
      <w:pPr>
        <w:ind w:left="3150" w:hanging="360"/>
      </w:pPr>
      <w:rPr>
        <w:rFonts w:ascii="Symbol" w:hAnsi="Symbol" w:hint="default"/>
      </w:rPr>
    </w:lvl>
    <w:lvl w:ilvl="4" w:tplc="79DEB248" w:tentative="1">
      <w:start w:val="1"/>
      <w:numFmt w:val="bullet"/>
      <w:lvlText w:val="o"/>
      <w:lvlJc w:val="left"/>
      <w:pPr>
        <w:ind w:left="3870" w:hanging="360"/>
      </w:pPr>
      <w:rPr>
        <w:rFonts w:ascii="Courier New" w:hAnsi="Courier New" w:cs="Courier New" w:hint="default"/>
      </w:rPr>
    </w:lvl>
    <w:lvl w:ilvl="5" w:tplc="1E5C0620" w:tentative="1">
      <w:start w:val="1"/>
      <w:numFmt w:val="bullet"/>
      <w:lvlText w:val=""/>
      <w:lvlJc w:val="left"/>
      <w:pPr>
        <w:ind w:left="4590" w:hanging="360"/>
      </w:pPr>
      <w:rPr>
        <w:rFonts w:ascii="Wingdings" w:hAnsi="Wingdings" w:hint="default"/>
      </w:rPr>
    </w:lvl>
    <w:lvl w:ilvl="6" w:tplc="552AAAA2" w:tentative="1">
      <w:start w:val="1"/>
      <w:numFmt w:val="bullet"/>
      <w:lvlText w:val=""/>
      <w:lvlJc w:val="left"/>
      <w:pPr>
        <w:ind w:left="5310" w:hanging="360"/>
      </w:pPr>
      <w:rPr>
        <w:rFonts w:ascii="Symbol" w:hAnsi="Symbol" w:hint="default"/>
      </w:rPr>
    </w:lvl>
    <w:lvl w:ilvl="7" w:tplc="A9C4765E" w:tentative="1">
      <w:start w:val="1"/>
      <w:numFmt w:val="bullet"/>
      <w:lvlText w:val="o"/>
      <w:lvlJc w:val="left"/>
      <w:pPr>
        <w:ind w:left="6030" w:hanging="360"/>
      </w:pPr>
      <w:rPr>
        <w:rFonts w:ascii="Courier New" w:hAnsi="Courier New" w:cs="Courier New" w:hint="default"/>
      </w:rPr>
    </w:lvl>
    <w:lvl w:ilvl="8" w:tplc="64DCC448"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196EF3AA">
      <w:start w:val="1"/>
      <w:numFmt w:val="bullet"/>
      <w:lvlText w:val=""/>
      <w:lvlJc w:val="left"/>
      <w:pPr>
        <w:ind w:left="720" w:hanging="360"/>
      </w:pPr>
      <w:rPr>
        <w:rFonts w:ascii="Symbol" w:hAnsi="Symbol" w:hint="default"/>
        <w:color w:val="7FC444"/>
      </w:rPr>
    </w:lvl>
    <w:lvl w:ilvl="1" w:tplc="74DECA8C" w:tentative="1">
      <w:start w:val="1"/>
      <w:numFmt w:val="bullet"/>
      <w:lvlText w:val="o"/>
      <w:lvlJc w:val="left"/>
      <w:pPr>
        <w:ind w:left="1800" w:hanging="360"/>
      </w:pPr>
      <w:rPr>
        <w:rFonts w:ascii="Courier New" w:hAnsi="Courier New" w:cs="Courier New" w:hint="default"/>
      </w:rPr>
    </w:lvl>
    <w:lvl w:ilvl="2" w:tplc="ED1280AE" w:tentative="1">
      <w:start w:val="1"/>
      <w:numFmt w:val="bullet"/>
      <w:lvlText w:val=""/>
      <w:lvlJc w:val="left"/>
      <w:pPr>
        <w:ind w:left="2520" w:hanging="360"/>
      </w:pPr>
      <w:rPr>
        <w:rFonts w:ascii="Wingdings" w:hAnsi="Wingdings" w:hint="default"/>
      </w:rPr>
    </w:lvl>
    <w:lvl w:ilvl="3" w:tplc="02DACDD6" w:tentative="1">
      <w:start w:val="1"/>
      <w:numFmt w:val="bullet"/>
      <w:lvlText w:val=""/>
      <w:lvlJc w:val="left"/>
      <w:pPr>
        <w:ind w:left="3240" w:hanging="360"/>
      </w:pPr>
      <w:rPr>
        <w:rFonts w:ascii="Symbol" w:hAnsi="Symbol" w:hint="default"/>
      </w:rPr>
    </w:lvl>
    <w:lvl w:ilvl="4" w:tplc="48A8D576" w:tentative="1">
      <w:start w:val="1"/>
      <w:numFmt w:val="bullet"/>
      <w:lvlText w:val="o"/>
      <w:lvlJc w:val="left"/>
      <w:pPr>
        <w:ind w:left="3960" w:hanging="360"/>
      </w:pPr>
      <w:rPr>
        <w:rFonts w:ascii="Courier New" w:hAnsi="Courier New" w:cs="Courier New" w:hint="default"/>
      </w:rPr>
    </w:lvl>
    <w:lvl w:ilvl="5" w:tplc="A8647636" w:tentative="1">
      <w:start w:val="1"/>
      <w:numFmt w:val="bullet"/>
      <w:lvlText w:val=""/>
      <w:lvlJc w:val="left"/>
      <w:pPr>
        <w:ind w:left="4680" w:hanging="360"/>
      </w:pPr>
      <w:rPr>
        <w:rFonts w:ascii="Wingdings" w:hAnsi="Wingdings" w:hint="default"/>
      </w:rPr>
    </w:lvl>
    <w:lvl w:ilvl="6" w:tplc="8FC0524E" w:tentative="1">
      <w:start w:val="1"/>
      <w:numFmt w:val="bullet"/>
      <w:lvlText w:val=""/>
      <w:lvlJc w:val="left"/>
      <w:pPr>
        <w:ind w:left="5400" w:hanging="360"/>
      </w:pPr>
      <w:rPr>
        <w:rFonts w:ascii="Symbol" w:hAnsi="Symbol" w:hint="default"/>
      </w:rPr>
    </w:lvl>
    <w:lvl w:ilvl="7" w:tplc="DEF637BA" w:tentative="1">
      <w:start w:val="1"/>
      <w:numFmt w:val="bullet"/>
      <w:lvlText w:val="o"/>
      <w:lvlJc w:val="left"/>
      <w:pPr>
        <w:ind w:left="6120" w:hanging="360"/>
      </w:pPr>
      <w:rPr>
        <w:rFonts w:ascii="Courier New" w:hAnsi="Courier New" w:cs="Courier New" w:hint="default"/>
      </w:rPr>
    </w:lvl>
    <w:lvl w:ilvl="8" w:tplc="64B60308"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F5044096">
      <w:start w:val="1"/>
      <w:numFmt w:val="bullet"/>
      <w:lvlText w:val=""/>
      <w:lvlJc w:val="left"/>
      <w:pPr>
        <w:ind w:left="720" w:hanging="360"/>
      </w:pPr>
      <w:rPr>
        <w:rFonts w:ascii="Symbol" w:hAnsi="Symbol" w:hint="default"/>
        <w:color w:val="auto"/>
      </w:rPr>
    </w:lvl>
    <w:lvl w:ilvl="1" w:tplc="0E5C48FA" w:tentative="1">
      <w:start w:val="1"/>
      <w:numFmt w:val="bullet"/>
      <w:lvlText w:val="o"/>
      <w:lvlJc w:val="left"/>
      <w:pPr>
        <w:ind w:left="1440" w:hanging="360"/>
      </w:pPr>
      <w:rPr>
        <w:rFonts w:ascii="Courier New" w:hAnsi="Courier New" w:cs="Courier New" w:hint="default"/>
      </w:rPr>
    </w:lvl>
    <w:lvl w:ilvl="2" w:tplc="F49EDD64" w:tentative="1">
      <w:start w:val="1"/>
      <w:numFmt w:val="bullet"/>
      <w:lvlText w:val=""/>
      <w:lvlJc w:val="left"/>
      <w:pPr>
        <w:ind w:left="2160" w:hanging="360"/>
      </w:pPr>
      <w:rPr>
        <w:rFonts w:ascii="Wingdings" w:hAnsi="Wingdings" w:hint="default"/>
      </w:rPr>
    </w:lvl>
    <w:lvl w:ilvl="3" w:tplc="CD54BCC0" w:tentative="1">
      <w:start w:val="1"/>
      <w:numFmt w:val="bullet"/>
      <w:lvlText w:val=""/>
      <w:lvlJc w:val="left"/>
      <w:pPr>
        <w:ind w:left="2880" w:hanging="360"/>
      </w:pPr>
      <w:rPr>
        <w:rFonts w:ascii="Symbol" w:hAnsi="Symbol" w:hint="default"/>
      </w:rPr>
    </w:lvl>
    <w:lvl w:ilvl="4" w:tplc="8714B282" w:tentative="1">
      <w:start w:val="1"/>
      <w:numFmt w:val="bullet"/>
      <w:lvlText w:val="o"/>
      <w:lvlJc w:val="left"/>
      <w:pPr>
        <w:ind w:left="3600" w:hanging="360"/>
      </w:pPr>
      <w:rPr>
        <w:rFonts w:ascii="Courier New" w:hAnsi="Courier New" w:cs="Courier New" w:hint="default"/>
      </w:rPr>
    </w:lvl>
    <w:lvl w:ilvl="5" w:tplc="B69E75EC" w:tentative="1">
      <w:start w:val="1"/>
      <w:numFmt w:val="bullet"/>
      <w:lvlText w:val=""/>
      <w:lvlJc w:val="left"/>
      <w:pPr>
        <w:ind w:left="4320" w:hanging="360"/>
      </w:pPr>
      <w:rPr>
        <w:rFonts w:ascii="Wingdings" w:hAnsi="Wingdings" w:hint="default"/>
      </w:rPr>
    </w:lvl>
    <w:lvl w:ilvl="6" w:tplc="6A42082C" w:tentative="1">
      <w:start w:val="1"/>
      <w:numFmt w:val="bullet"/>
      <w:lvlText w:val=""/>
      <w:lvlJc w:val="left"/>
      <w:pPr>
        <w:ind w:left="5040" w:hanging="360"/>
      </w:pPr>
      <w:rPr>
        <w:rFonts w:ascii="Symbol" w:hAnsi="Symbol" w:hint="default"/>
      </w:rPr>
    </w:lvl>
    <w:lvl w:ilvl="7" w:tplc="CB0E82C8" w:tentative="1">
      <w:start w:val="1"/>
      <w:numFmt w:val="bullet"/>
      <w:lvlText w:val="o"/>
      <w:lvlJc w:val="left"/>
      <w:pPr>
        <w:ind w:left="5760" w:hanging="360"/>
      </w:pPr>
      <w:rPr>
        <w:rFonts w:ascii="Courier New" w:hAnsi="Courier New" w:cs="Courier New" w:hint="default"/>
      </w:rPr>
    </w:lvl>
    <w:lvl w:ilvl="8" w:tplc="CBFC356E"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88D847A0">
      <w:start w:val="1"/>
      <w:numFmt w:val="bullet"/>
      <w:lvlText w:val=""/>
      <w:lvlJc w:val="left"/>
      <w:pPr>
        <w:ind w:left="720" w:hanging="360"/>
      </w:pPr>
      <w:rPr>
        <w:rFonts w:ascii="Symbol" w:hAnsi="Symbol" w:hint="default"/>
        <w:color w:val="7FC444"/>
      </w:rPr>
    </w:lvl>
    <w:lvl w:ilvl="1" w:tplc="11369FA2" w:tentative="1">
      <w:start w:val="1"/>
      <w:numFmt w:val="bullet"/>
      <w:lvlText w:val="o"/>
      <w:lvlJc w:val="left"/>
      <w:pPr>
        <w:ind w:left="1440" w:hanging="360"/>
      </w:pPr>
      <w:rPr>
        <w:rFonts w:ascii="Courier New" w:hAnsi="Courier New" w:cs="Courier New" w:hint="default"/>
      </w:rPr>
    </w:lvl>
    <w:lvl w:ilvl="2" w:tplc="AFB09DC0" w:tentative="1">
      <w:start w:val="1"/>
      <w:numFmt w:val="bullet"/>
      <w:lvlText w:val=""/>
      <w:lvlJc w:val="left"/>
      <w:pPr>
        <w:ind w:left="2160" w:hanging="360"/>
      </w:pPr>
      <w:rPr>
        <w:rFonts w:ascii="Wingdings" w:hAnsi="Wingdings" w:hint="default"/>
      </w:rPr>
    </w:lvl>
    <w:lvl w:ilvl="3" w:tplc="5F2C729C" w:tentative="1">
      <w:start w:val="1"/>
      <w:numFmt w:val="bullet"/>
      <w:lvlText w:val=""/>
      <w:lvlJc w:val="left"/>
      <w:pPr>
        <w:ind w:left="2880" w:hanging="360"/>
      </w:pPr>
      <w:rPr>
        <w:rFonts w:ascii="Symbol" w:hAnsi="Symbol" w:hint="default"/>
      </w:rPr>
    </w:lvl>
    <w:lvl w:ilvl="4" w:tplc="3A74C2BE" w:tentative="1">
      <w:start w:val="1"/>
      <w:numFmt w:val="bullet"/>
      <w:lvlText w:val="o"/>
      <w:lvlJc w:val="left"/>
      <w:pPr>
        <w:ind w:left="3600" w:hanging="360"/>
      </w:pPr>
      <w:rPr>
        <w:rFonts w:ascii="Courier New" w:hAnsi="Courier New" w:cs="Courier New" w:hint="default"/>
      </w:rPr>
    </w:lvl>
    <w:lvl w:ilvl="5" w:tplc="6F2ED2BC" w:tentative="1">
      <w:start w:val="1"/>
      <w:numFmt w:val="bullet"/>
      <w:lvlText w:val=""/>
      <w:lvlJc w:val="left"/>
      <w:pPr>
        <w:ind w:left="4320" w:hanging="360"/>
      </w:pPr>
      <w:rPr>
        <w:rFonts w:ascii="Wingdings" w:hAnsi="Wingdings" w:hint="default"/>
      </w:rPr>
    </w:lvl>
    <w:lvl w:ilvl="6" w:tplc="F69EA422" w:tentative="1">
      <w:start w:val="1"/>
      <w:numFmt w:val="bullet"/>
      <w:lvlText w:val=""/>
      <w:lvlJc w:val="left"/>
      <w:pPr>
        <w:ind w:left="5040" w:hanging="360"/>
      </w:pPr>
      <w:rPr>
        <w:rFonts w:ascii="Symbol" w:hAnsi="Symbol" w:hint="default"/>
      </w:rPr>
    </w:lvl>
    <w:lvl w:ilvl="7" w:tplc="20DC1C26" w:tentative="1">
      <w:start w:val="1"/>
      <w:numFmt w:val="bullet"/>
      <w:lvlText w:val="o"/>
      <w:lvlJc w:val="left"/>
      <w:pPr>
        <w:ind w:left="5760" w:hanging="360"/>
      </w:pPr>
      <w:rPr>
        <w:rFonts w:ascii="Courier New" w:hAnsi="Courier New" w:cs="Courier New" w:hint="default"/>
      </w:rPr>
    </w:lvl>
    <w:lvl w:ilvl="8" w:tplc="424CF2EA"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EEB090E2"/>
    <w:lvl w:ilvl="0" w:tplc="E0CA602E">
      <w:start w:val="1"/>
      <w:numFmt w:val="decimal"/>
      <w:lvlText w:val="%1."/>
      <w:lvlJc w:val="left"/>
      <w:pPr>
        <w:ind w:left="720" w:hanging="360"/>
      </w:pPr>
      <w:rPr>
        <w:rFonts w:ascii="Arial" w:hAnsi="Arial" w:hint="default"/>
        <w:b/>
        <w:i w:val="0"/>
        <w:color w:val="auto"/>
      </w:rPr>
    </w:lvl>
    <w:lvl w:ilvl="1" w:tplc="56F6B21A" w:tentative="1">
      <w:start w:val="1"/>
      <w:numFmt w:val="lowerLetter"/>
      <w:lvlText w:val="%2."/>
      <w:lvlJc w:val="left"/>
      <w:pPr>
        <w:ind w:left="1440" w:hanging="360"/>
      </w:pPr>
    </w:lvl>
    <w:lvl w:ilvl="2" w:tplc="3E5000E6" w:tentative="1">
      <w:start w:val="1"/>
      <w:numFmt w:val="lowerRoman"/>
      <w:lvlText w:val="%3."/>
      <w:lvlJc w:val="right"/>
      <w:pPr>
        <w:ind w:left="2160" w:hanging="180"/>
      </w:pPr>
    </w:lvl>
    <w:lvl w:ilvl="3" w:tplc="D8E2E672" w:tentative="1">
      <w:start w:val="1"/>
      <w:numFmt w:val="decimal"/>
      <w:lvlText w:val="%4."/>
      <w:lvlJc w:val="left"/>
      <w:pPr>
        <w:ind w:left="2880" w:hanging="360"/>
      </w:pPr>
    </w:lvl>
    <w:lvl w:ilvl="4" w:tplc="44F84596" w:tentative="1">
      <w:start w:val="1"/>
      <w:numFmt w:val="lowerLetter"/>
      <w:lvlText w:val="%5."/>
      <w:lvlJc w:val="left"/>
      <w:pPr>
        <w:ind w:left="3600" w:hanging="360"/>
      </w:pPr>
    </w:lvl>
    <w:lvl w:ilvl="5" w:tplc="E13C369A" w:tentative="1">
      <w:start w:val="1"/>
      <w:numFmt w:val="lowerRoman"/>
      <w:lvlText w:val="%6."/>
      <w:lvlJc w:val="right"/>
      <w:pPr>
        <w:ind w:left="4320" w:hanging="180"/>
      </w:pPr>
    </w:lvl>
    <w:lvl w:ilvl="6" w:tplc="3F68ED9C" w:tentative="1">
      <w:start w:val="1"/>
      <w:numFmt w:val="decimal"/>
      <w:lvlText w:val="%7."/>
      <w:lvlJc w:val="left"/>
      <w:pPr>
        <w:ind w:left="5040" w:hanging="360"/>
      </w:pPr>
    </w:lvl>
    <w:lvl w:ilvl="7" w:tplc="05DC14E2" w:tentative="1">
      <w:start w:val="1"/>
      <w:numFmt w:val="lowerLetter"/>
      <w:lvlText w:val="%8."/>
      <w:lvlJc w:val="left"/>
      <w:pPr>
        <w:ind w:left="5760" w:hanging="360"/>
      </w:pPr>
    </w:lvl>
    <w:lvl w:ilvl="8" w:tplc="6218CCF6" w:tentative="1">
      <w:start w:val="1"/>
      <w:numFmt w:val="lowerRoman"/>
      <w:lvlText w:val="%9."/>
      <w:lvlJc w:val="right"/>
      <w:pPr>
        <w:ind w:left="6480" w:hanging="180"/>
      </w:pPr>
    </w:lvl>
  </w:abstractNum>
  <w:abstractNum w:abstractNumId="5" w15:restartNumberingAfterBreak="0">
    <w:nsid w:val="687524EC"/>
    <w:multiLevelType w:val="hybridMultilevel"/>
    <w:tmpl w:val="C83AE318"/>
    <w:lvl w:ilvl="0" w:tplc="7F8CB0E0">
      <w:start w:val="1"/>
      <w:numFmt w:val="bullet"/>
      <w:lvlText w:val=""/>
      <w:lvlJc w:val="left"/>
      <w:pPr>
        <w:ind w:left="720" w:hanging="360"/>
      </w:pPr>
      <w:rPr>
        <w:rFonts w:ascii="Symbol" w:hAnsi="Symbol" w:hint="default"/>
        <w:color w:val="7FC444"/>
      </w:rPr>
    </w:lvl>
    <w:lvl w:ilvl="1" w:tplc="200CDBDA" w:tentative="1">
      <w:start w:val="1"/>
      <w:numFmt w:val="bullet"/>
      <w:lvlText w:val="o"/>
      <w:lvlJc w:val="left"/>
      <w:pPr>
        <w:ind w:left="1440" w:hanging="360"/>
      </w:pPr>
      <w:rPr>
        <w:rFonts w:ascii="Courier New" w:hAnsi="Courier New" w:cs="Courier New" w:hint="default"/>
      </w:rPr>
    </w:lvl>
    <w:lvl w:ilvl="2" w:tplc="D024B4E4" w:tentative="1">
      <w:start w:val="1"/>
      <w:numFmt w:val="bullet"/>
      <w:lvlText w:val=""/>
      <w:lvlJc w:val="left"/>
      <w:pPr>
        <w:ind w:left="2160" w:hanging="360"/>
      </w:pPr>
      <w:rPr>
        <w:rFonts w:ascii="Wingdings" w:hAnsi="Wingdings" w:hint="default"/>
      </w:rPr>
    </w:lvl>
    <w:lvl w:ilvl="3" w:tplc="1B9EDC2C" w:tentative="1">
      <w:start w:val="1"/>
      <w:numFmt w:val="bullet"/>
      <w:lvlText w:val=""/>
      <w:lvlJc w:val="left"/>
      <w:pPr>
        <w:ind w:left="2880" w:hanging="360"/>
      </w:pPr>
      <w:rPr>
        <w:rFonts w:ascii="Symbol" w:hAnsi="Symbol" w:hint="default"/>
      </w:rPr>
    </w:lvl>
    <w:lvl w:ilvl="4" w:tplc="3926ED1A" w:tentative="1">
      <w:start w:val="1"/>
      <w:numFmt w:val="bullet"/>
      <w:lvlText w:val="o"/>
      <w:lvlJc w:val="left"/>
      <w:pPr>
        <w:ind w:left="3600" w:hanging="360"/>
      </w:pPr>
      <w:rPr>
        <w:rFonts w:ascii="Courier New" w:hAnsi="Courier New" w:cs="Courier New" w:hint="default"/>
      </w:rPr>
    </w:lvl>
    <w:lvl w:ilvl="5" w:tplc="AEFA30EC" w:tentative="1">
      <w:start w:val="1"/>
      <w:numFmt w:val="bullet"/>
      <w:lvlText w:val=""/>
      <w:lvlJc w:val="left"/>
      <w:pPr>
        <w:ind w:left="4320" w:hanging="360"/>
      </w:pPr>
      <w:rPr>
        <w:rFonts w:ascii="Wingdings" w:hAnsi="Wingdings" w:hint="default"/>
      </w:rPr>
    </w:lvl>
    <w:lvl w:ilvl="6" w:tplc="49BC1D58" w:tentative="1">
      <w:start w:val="1"/>
      <w:numFmt w:val="bullet"/>
      <w:lvlText w:val=""/>
      <w:lvlJc w:val="left"/>
      <w:pPr>
        <w:ind w:left="5040" w:hanging="360"/>
      </w:pPr>
      <w:rPr>
        <w:rFonts w:ascii="Symbol" w:hAnsi="Symbol" w:hint="default"/>
      </w:rPr>
    </w:lvl>
    <w:lvl w:ilvl="7" w:tplc="18D28712" w:tentative="1">
      <w:start w:val="1"/>
      <w:numFmt w:val="bullet"/>
      <w:lvlText w:val="o"/>
      <w:lvlJc w:val="left"/>
      <w:pPr>
        <w:ind w:left="5760" w:hanging="360"/>
      </w:pPr>
      <w:rPr>
        <w:rFonts w:ascii="Courier New" w:hAnsi="Courier New" w:cs="Courier New" w:hint="default"/>
      </w:rPr>
    </w:lvl>
    <w:lvl w:ilvl="8" w:tplc="1C96F7B2"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79ECD908">
      <w:start w:val="1"/>
      <w:numFmt w:val="bullet"/>
      <w:lvlText w:val=""/>
      <w:lvlJc w:val="left"/>
      <w:pPr>
        <w:ind w:left="720" w:hanging="360"/>
      </w:pPr>
      <w:rPr>
        <w:rFonts w:ascii="Symbol" w:hAnsi="Symbol" w:hint="default"/>
        <w:color w:val="7FC444"/>
      </w:rPr>
    </w:lvl>
    <w:lvl w:ilvl="1" w:tplc="92F442AA" w:tentative="1">
      <w:start w:val="1"/>
      <w:numFmt w:val="bullet"/>
      <w:lvlText w:val="o"/>
      <w:lvlJc w:val="left"/>
      <w:pPr>
        <w:ind w:left="1440" w:hanging="360"/>
      </w:pPr>
      <w:rPr>
        <w:rFonts w:ascii="Courier New" w:hAnsi="Courier New" w:cs="Courier New" w:hint="default"/>
      </w:rPr>
    </w:lvl>
    <w:lvl w:ilvl="2" w:tplc="D44E32E0" w:tentative="1">
      <w:start w:val="1"/>
      <w:numFmt w:val="bullet"/>
      <w:lvlText w:val=""/>
      <w:lvlJc w:val="left"/>
      <w:pPr>
        <w:ind w:left="2160" w:hanging="360"/>
      </w:pPr>
      <w:rPr>
        <w:rFonts w:ascii="Wingdings" w:hAnsi="Wingdings" w:hint="default"/>
      </w:rPr>
    </w:lvl>
    <w:lvl w:ilvl="3" w:tplc="402A077C" w:tentative="1">
      <w:start w:val="1"/>
      <w:numFmt w:val="bullet"/>
      <w:lvlText w:val=""/>
      <w:lvlJc w:val="left"/>
      <w:pPr>
        <w:ind w:left="2880" w:hanging="360"/>
      </w:pPr>
      <w:rPr>
        <w:rFonts w:ascii="Symbol" w:hAnsi="Symbol" w:hint="default"/>
      </w:rPr>
    </w:lvl>
    <w:lvl w:ilvl="4" w:tplc="9DEA86EA" w:tentative="1">
      <w:start w:val="1"/>
      <w:numFmt w:val="bullet"/>
      <w:lvlText w:val="o"/>
      <w:lvlJc w:val="left"/>
      <w:pPr>
        <w:ind w:left="3600" w:hanging="360"/>
      </w:pPr>
      <w:rPr>
        <w:rFonts w:ascii="Courier New" w:hAnsi="Courier New" w:cs="Courier New" w:hint="default"/>
      </w:rPr>
    </w:lvl>
    <w:lvl w:ilvl="5" w:tplc="55ECA12A" w:tentative="1">
      <w:start w:val="1"/>
      <w:numFmt w:val="bullet"/>
      <w:lvlText w:val=""/>
      <w:lvlJc w:val="left"/>
      <w:pPr>
        <w:ind w:left="4320" w:hanging="360"/>
      </w:pPr>
      <w:rPr>
        <w:rFonts w:ascii="Wingdings" w:hAnsi="Wingdings" w:hint="default"/>
      </w:rPr>
    </w:lvl>
    <w:lvl w:ilvl="6" w:tplc="34923C08" w:tentative="1">
      <w:start w:val="1"/>
      <w:numFmt w:val="bullet"/>
      <w:lvlText w:val=""/>
      <w:lvlJc w:val="left"/>
      <w:pPr>
        <w:ind w:left="5040" w:hanging="360"/>
      </w:pPr>
      <w:rPr>
        <w:rFonts w:ascii="Symbol" w:hAnsi="Symbol" w:hint="default"/>
      </w:rPr>
    </w:lvl>
    <w:lvl w:ilvl="7" w:tplc="75F470C4" w:tentative="1">
      <w:start w:val="1"/>
      <w:numFmt w:val="bullet"/>
      <w:lvlText w:val="o"/>
      <w:lvlJc w:val="left"/>
      <w:pPr>
        <w:ind w:left="5760" w:hanging="360"/>
      </w:pPr>
      <w:rPr>
        <w:rFonts w:ascii="Courier New" w:hAnsi="Courier New" w:cs="Courier New" w:hint="default"/>
      </w:rPr>
    </w:lvl>
    <w:lvl w:ilvl="8" w:tplc="748ECF98"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29809B2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82C52CE" w:tentative="1">
      <w:start w:val="1"/>
      <w:numFmt w:val="bullet"/>
      <w:lvlText w:val="o"/>
      <w:lvlJc w:val="left"/>
      <w:pPr>
        <w:tabs>
          <w:tab w:val="num" w:pos="1440"/>
        </w:tabs>
        <w:ind w:left="1440" w:hanging="360"/>
      </w:pPr>
      <w:rPr>
        <w:rFonts w:ascii="Courier New" w:hAnsi="Courier New" w:hint="default"/>
      </w:rPr>
    </w:lvl>
    <w:lvl w:ilvl="2" w:tplc="01A0A3B8" w:tentative="1">
      <w:start w:val="1"/>
      <w:numFmt w:val="bullet"/>
      <w:lvlText w:val=""/>
      <w:lvlJc w:val="left"/>
      <w:pPr>
        <w:tabs>
          <w:tab w:val="num" w:pos="2160"/>
        </w:tabs>
        <w:ind w:left="2160" w:hanging="360"/>
      </w:pPr>
      <w:rPr>
        <w:rFonts w:ascii="Wingdings" w:hAnsi="Wingdings" w:hint="default"/>
      </w:rPr>
    </w:lvl>
    <w:lvl w:ilvl="3" w:tplc="77D224E6" w:tentative="1">
      <w:start w:val="1"/>
      <w:numFmt w:val="bullet"/>
      <w:lvlText w:val=""/>
      <w:lvlJc w:val="left"/>
      <w:pPr>
        <w:tabs>
          <w:tab w:val="num" w:pos="2880"/>
        </w:tabs>
        <w:ind w:left="2880" w:hanging="360"/>
      </w:pPr>
      <w:rPr>
        <w:rFonts w:ascii="Symbol" w:hAnsi="Symbol" w:hint="default"/>
      </w:rPr>
    </w:lvl>
    <w:lvl w:ilvl="4" w:tplc="D682B17C" w:tentative="1">
      <w:start w:val="1"/>
      <w:numFmt w:val="bullet"/>
      <w:lvlText w:val="o"/>
      <w:lvlJc w:val="left"/>
      <w:pPr>
        <w:tabs>
          <w:tab w:val="num" w:pos="3600"/>
        </w:tabs>
        <w:ind w:left="3600" w:hanging="360"/>
      </w:pPr>
      <w:rPr>
        <w:rFonts w:ascii="Courier New" w:hAnsi="Courier New" w:hint="default"/>
      </w:rPr>
    </w:lvl>
    <w:lvl w:ilvl="5" w:tplc="73AC1FB0" w:tentative="1">
      <w:start w:val="1"/>
      <w:numFmt w:val="bullet"/>
      <w:lvlText w:val=""/>
      <w:lvlJc w:val="left"/>
      <w:pPr>
        <w:tabs>
          <w:tab w:val="num" w:pos="4320"/>
        </w:tabs>
        <w:ind w:left="4320" w:hanging="360"/>
      </w:pPr>
      <w:rPr>
        <w:rFonts w:ascii="Wingdings" w:hAnsi="Wingdings" w:hint="default"/>
      </w:rPr>
    </w:lvl>
    <w:lvl w:ilvl="6" w:tplc="2634E1A4" w:tentative="1">
      <w:start w:val="1"/>
      <w:numFmt w:val="bullet"/>
      <w:lvlText w:val=""/>
      <w:lvlJc w:val="left"/>
      <w:pPr>
        <w:tabs>
          <w:tab w:val="num" w:pos="5040"/>
        </w:tabs>
        <w:ind w:left="5040" w:hanging="360"/>
      </w:pPr>
      <w:rPr>
        <w:rFonts w:ascii="Symbol" w:hAnsi="Symbol" w:hint="default"/>
      </w:rPr>
    </w:lvl>
    <w:lvl w:ilvl="7" w:tplc="0FD0F758" w:tentative="1">
      <w:start w:val="1"/>
      <w:numFmt w:val="bullet"/>
      <w:lvlText w:val="o"/>
      <w:lvlJc w:val="left"/>
      <w:pPr>
        <w:tabs>
          <w:tab w:val="num" w:pos="5760"/>
        </w:tabs>
        <w:ind w:left="5760" w:hanging="360"/>
      </w:pPr>
      <w:rPr>
        <w:rFonts w:ascii="Courier New" w:hAnsi="Courier New" w:hint="default"/>
      </w:rPr>
    </w:lvl>
    <w:lvl w:ilvl="8" w:tplc="8F52BAF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00"/>
    <w:rsid w:val="00263600"/>
    <w:rsid w:val="00E0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CFA7"/>
  <w15:docId w15:val="{3D6BEBAE-F5B6-4520-A0F0-23113DA2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7AFF3A-80D0-43D1-A858-DC8A062F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10</cp:revision>
  <cp:lastPrinted>2014-03-21T13:56:00Z</cp:lastPrinted>
  <dcterms:created xsi:type="dcterms:W3CDTF">2021-01-25T09:54:00Z</dcterms:created>
  <dcterms:modified xsi:type="dcterms:W3CDTF">2021-05-14T09:22:00Z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Review of the effectiveness of Internal Audit</vt:lpwstr>
  </property>
  <property fmtid="{D5CDD505-2E9C-101B-9397-08002B2CF9AE}" pid="4" name="LeadDirector">
    <vt:lpwstr>Director of Governance and Monitoring Officer</vt:lpwstr>
  </property>
  <property fmtid="{D5CDD505-2E9C-101B-9397-08002B2CF9AE}" pid="5" name="LeadOfficer">
    <vt:lpwstr>Dawn Highton</vt:lpwstr>
  </property>
  <property fmtid="{D5CDD505-2E9C-101B-9397-08002B2CF9AE}" pid="6" name="LeadOfficerEmail">
    <vt:lpwstr>dawn.highton@southribble.gov.uk</vt:lpwstr>
  </property>
  <property fmtid="{D5CDD505-2E9C-101B-9397-08002B2CF9AE}" pid="7" name="LeadOfficerPost">
    <vt:lpwstr>Shared Service Lead- Audit &amp; Risk</vt:lpwstr>
  </property>
  <property fmtid="{D5CDD505-2E9C-101B-9397-08002B2CF9AE}" pid="8" name="MeetingDate">
    <vt:lpwstr>Tuesday, 25 May 2021</vt:lpwstr>
  </property>
</Properties>
</file>